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F332" w14:textId="2CEAFE90" w:rsidR="006306E2" w:rsidRPr="005347D3" w:rsidRDefault="00357A34" w:rsidP="00357A34">
      <w:pPr>
        <w:jc w:val="center"/>
        <w:rPr>
          <w:b/>
          <w:bCs/>
        </w:rPr>
      </w:pPr>
      <w:r w:rsidRPr="005347D3">
        <w:rPr>
          <w:b/>
          <w:bCs/>
        </w:rPr>
        <w:t>All our Children minutes 17</w:t>
      </w:r>
      <w:r w:rsidRPr="005347D3">
        <w:rPr>
          <w:b/>
          <w:bCs/>
          <w:vertAlign w:val="superscript"/>
        </w:rPr>
        <w:t>th</w:t>
      </w:r>
      <w:r w:rsidRPr="005347D3">
        <w:rPr>
          <w:b/>
          <w:bCs/>
        </w:rPr>
        <w:t xml:space="preserve"> June 2025</w:t>
      </w:r>
    </w:p>
    <w:p w14:paraId="5221C531" w14:textId="77777777" w:rsidR="00357A34" w:rsidRPr="005347D3" w:rsidRDefault="00357A34"/>
    <w:p w14:paraId="56822194" w14:textId="547993F0" w:rsidR="00357A34" w:rsidRPr="005347D3" w:rsidRDefault="00357A34">
      <w:r w:rsidRPr="005347D3">
        <w:t>Attendees:</w:t>
      </w:r>
      <w:r w:rsidR="0038075A">
        <w:t xml:space="preserve"> Tanya (chair), Sharon (vice chair)</w:t>
      </w:r>
      <w:r w:rsidR="00AF3108">
        <w:t>, Takki TSI, Kirsten TSI, Kerry CA</w:t>
      </w:r>
      <w:r w:rsidR="00E20C07">
        <w:t xml:space="preserve">MHS, Hannah Homestart, Debra SFSD, Agnes NAYC, Mhairi Tarbert After School, </w:t>
      </w:r>
      <w:r w:rsidR="00883175">
        <w:t xml:space="preserve">Sarah Fun first, </w:t>
      </w:r>
      <w:r w:rsidR="005D7C02">
        <w:t xml:space="preserve">Mandy HSCP, Fran ABWA, </w:t>
      </w:r>
      <w:r w:rsidR="002F25D4">
        <w:t xml:space="preserve">Jude </w:t>
      </w:r>
      <w:r w:rsidR="00AA6BB5" w:rsidRPr="00AA6BB5">
        <w:t>Live Music Now Scotland</w:t>
      </w:r>
      <w:r w:rsidR="00AA6BB5">
        <w:t xml:space="preserve">, </w:t>
      </w:r>
      <w:r w:rsidR="002147A3">
        <w:t>Sue F.A.I.R</w:t>
      </w:r>
    </w:p>
    <w:p w14:paraId="292A183F" w14:textId="0EB02960" w:rsidR="00357A34" w:rsidRPr="005347D3" w:rsidRDefault="00357A34">
      <w:r w:rsidRPr="005347D3">
        <w:t>Apologies:</w:t>
      </w:r>
      <w:r w:rsidR="0038075A">
        <w:t xml:space="preserve"> Dee Rape Crisis, Libby CAB &amp; Nicola MCR Pathways</w:t>
      </w:r>
    </w:p>
    <w:p w14:paraId="4C927385" w14:textId="1489A86A" w:rsidR="00357A34" w:rsidRPr="005347D3" w:rsidRDefault="00357A34">
      <w:pPr>
        <w:rPr>
          <w:b/>
          <w:bCs/>
        </w:rPr>
      </w:pPr>
      <w:r w:rsidRPr="005347D3">
        <w:rPr>
          <w:b/>
          <w:bCs/>
        </w:rPr>
        <w:t>Update on Children’s services Mapping Exercise – Takki Sulaiman</w:t>
      </w:r>
    </w:p>
    <w:p w14:paraId="586861D6" w14:textId="000E95B5" w:rsidR="00357A34" w:rsidRPr="005347D3" w:rsidRDefault="00357A34">
      <w:r w:rsidRPr="005347D3">
        <w:t>Main points as below.</w:t>
      </w:r>
    </w:p>
    <w:p w14:paraId="1EBAF4F5" w14:textId="77777777" w:rsidR="00357A34" w:rsidRPr="005347D3" w:rsidRDefault="00357A34" w:rsidP="00357A34">
      <w:pPr>
        <w:pStyle w:val="NormalWeb"/>
        <w:numPr>
          <w:ilvl w:val="0"/>
          <w:numId w:val="1"/>
        </w:numPr>
        <w:rPr>
          <w:rFonts w:asciiTheme="minorHAnsi" w:hAnsiTheme="minorHAnsi"/>
        </w:rPr>
      </w:pPr>
      <w:r w:rsidRPr="005347D3">
        <w:rPr>
          <w:rStyle w:val="Strong"/>
          <w:rFonts w:asciiTheme="minorHAnsi" w:eastAsiaTheme="majorEastAsia" w:hAnsiTheme="minorHAnsi"/>
        </w:rPr>
        <w:t>Purpose</w:t>
      </w:r>
      <w:r w:rsidRPr="005347D3">
        <w:rPr>
          <w:rFonts w:asciiTheme="minorHAnsi" w:hAnsiTheme="minorHAnsi"/>
        </w:rPr>
        <w:t>: Commissioned by the Children’s Strategic Group and funded by the HSCP and Chief Social Worker, the report (produced by Social Value Lab) assesses community-based preventative services for children, young people, and families in Argyll and Bute.</w:t>
      </w:r>
    </w:p>
    <w:p w14:paraId="05541B12" w14:textId="77777777" w:rsidR="00357A34" w:rsidRPr="005347D3" w:rsidRDefault="00357A34" w:rsidP="00357A34">
      <w:pPr>
        <w:pStyle w:val="NormalWeb"/>
        <w:numPr>
          <w:ilvl w:val="0"/>
          <w:numId w:val="1"/>
        </w:numPr>
        <w:rPr>
          <w:rFonts w:asciiTheme="minorHAnsi" w:hAnsiTheme="minorHAnsi"/>
        </w:rPr>
      </w:pPr>
      <w:r w:rsidRPr="005347D3">
        <w:rPr>
          <w:rStyle w:val="Strong"/>
          <w:rFonts w:asciiTheme="minorHAnsi" w:eastAsiaTheme="majorEastAsia" w:hAnsiTheme="minorHAnsi"/>
        </w:rPr>
        <w:t>Focus</w:t>
      </w:r>
      <w:r w:rsidRPr="005347D3">
        <w:rPr>
          <w:rFonts w:asciiTheme="minorHAnsi" w:hAnsiTheme="minorHAnsi"/>
        </w:rPr>
        <w:t>:</w:t>
      </w:r>
    </w:p>
    <w:p w14:paraId="069F40A2"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Current state of preventative services (primarily third sector)</w:t>
      </w:r>
    </w:p>
    <w:p w14:paraId="267F3815"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Interaction with statutory services</w:t>
      </w:r>
    </w:p>
    <w:p w14:paraId="79973E10"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Informing future service design, delivery, and funding</w:t>
      </w:r>
    </w:p>
    <w:p w14:paraId="5B5D3777" w14:textId="77777777" w:rsidR="00357A34" w:rsidRPr="005347D3" w:rsidRDefault="00357A34" w:rsidP="00357A34">
      <w:pPr>
        <w:pStyle w:val="NormalWeb"/>
        <w:numPr>
          <w:ilvl w:val="0"/>
          <w:numId w:val="1"/>
        </w:numPr>
        <w:rPr>
          <w:rFonts w:asciiTheme="minorHAnsi" w:hAnsiTheme="minorHAnsi"/>
        </w:rPr>
      </w:pPr>
      <w:r w:rsidRPr="005347D3">
        <w:rPr>
          <w:rStyle w:val="Strong"/>
          <w:rFonts w:asciiTheme="minorHAnsi" w:eastAsiaTheme="majorEastAsia" w:hAnsiTheme="minorHAnsi"/>
        </w:rPr>
        <w:t>Key Findings</w:t>
      </w:r>
      <w:r w:rsidRPr="005347D3">
        <w:rPr>
          <w:rFonts w:asciiTheme="minorHAnsi" w:hAnsiTheme="minorHAnsi"/>
        </w:rPr>
        <w:t>:</w:t>
      </w:r>
    </w:p>
    <w:p w14:paraId="2225C605" w14:textId="77777777" w:rsidR="00357A34" w:rsidRPr="005347D3" w:rsidRDefault="00357A34" w:rsidP="00357A34">
      <w:pPr>
        <w:pStyle w:val="NormalWeb"/>
        <w:numPr>
          <w:ilvl w:val="1"/>
          <w:numId w:val="1"/>
        </w:numPr>
        <w:rPr>
          <w:rFonts w:asciiTheme="minorHAnsi" w:hAnsiTheme="minorHAnsi"/>
        </w:rPr>
      </w:pPr>
      <w:r w:rsidRPr="005347D3">
        <w:rPr>
          <w:rStyle w:val="Strong"/>
          <w:rFonts w:asciiTheme="minorHAnsi" w:eastAsiaTheme="majorEastAsia" w:hAnsiTheme="minorHAnsi"/>
        </w:rPr>
        <w:t>Geographical Gaps</w:t>
      </w:r>
      <w:r w:rsidRPr="005347D3">
        <w:rPr>
          <w:rFonts w:asciiTheme="minorHAnsi" w:hAnsiTheme="minorHAnsi"/>
        </w:rPr>
        <w:t>: Services concentrated in Helensburgh and Oban; rural areas under-served.</w:t>
      </w:r>
    </w:p>
    <w:p w14:paraId="1E2A75FA" w14:textId="77777777" w:rsidR="00357A34" w:rsidRPr="005347D3" w:rsidRDefault="00357A34" w:rsidP="00357A34">
      <w:pPr>
        <w:pStyle w:val="NormalWeb"/>
        <w:numPr>
          <w:ilvl w:val="1"/>
          <w:numId w:val="1"/>
        </w:numPr>
        <w:rPr>
          <w:rFonts w:asciiTheme="minorHAnsi" w:hAnsiTheme="minorHAnsi"/>
        </w:rPr>
      </w:pPr>
      <w:r w:rsidRPr="005347D3">
        <w:rPr>
          <w:rStyle w:val="Strong"/>
          <w:rFonts w:asciiTheme="minorHAnsi" w:eastAsiaTheme="majorEastAsia" w:hAnsiTheme="minorHAnsi"/>
        </w:rPr>
        <w:t>Undervalued Informal Services</w:t>
      </w:r>
      <w:r w:rsidRPr="005347D3">
        <w:rPr>
          <w:rFonts w:asciiTheme="minorHAnsi" w:hAnsiTheme="minorHAnsi"/>
        </w:rPr>
        <w:t>: Many community and volunteer-led services (e.g. playgroups, youth clubs) not well mapped or recognised.</w:t>
      </w:r>
    </w:p>
    <w:p w14:paraId="5DFCA839" w14:textId="77777777" w:rsidR="00357A34" w:rsidRPr="005347D3" w:rsidRDefault="00357A34" w:rsidP="00357A34">
      <w:pPr>
        <w:pStyle w:val="NormalWeb"/>
        <w:numPr>
          <w:ilvl w:val="1"/>
          <w:numId w:val="1"/>
        </w:numPr>
        <w:rPr>
          <w:rFonts w:asciiTheme="minorHAnsi" w:hAnsiTheme="minorHAnsi"/>
        </w:rPr>
      </w:pPr>
      <w:r w:rsidRPr="005347D3">
        <w:rPr>
          <w:rStyle w:val="Strong"/>
          <w:rFonts w:asciiTheme="minorHAnsi" w:eastAsiaTheme="majorEastAsia" w:hAnsiTheme="minorHAnsi"/>
        </w:rPr>
        <w:t>Delivery</w:t>
      </w:r>
      <w:r w:rsidRPr="005347D3">
        <w:rPr>
          <w:rFonts w:asciiTheme="minorHAnsi" w:hAnsiTheme="minorHAnsi"/>
        </w:rPr>
        <w:t>: Flexible outreach is a common approach due to geography.</w:t>
      </w:r>
    </w:p>
    <w:p w14:paraId="40CE7995" w14:textId="77777777" w:rsidR="00357A34" w:rsidRPr="005347D3" w:rsidRDefault="00357A34" w:rsidP="00357A34">
      <w:pPr>
        <w:pStyle w:val="NormalWeb"/>
        <w:numPr>
          <w:ilvl w:val="0"/>
          <w:numId w:val="1"/>
        </w:numPr>
        <w:rPr>
          <w:rFonts w:asciiTheme="minorHAnsi" w:hAnsiTheme="minorHAnsi"/>
        </w:rPr>
      </w:pPr>
      <w:r w:rsidRPr="005347D3">
        <w:rPr>
          <w:rStyle w:val="Strong"/>
          <w:rFonts w:asciiTheme="minorHAnsi" w:eastAsiaTheme="majorEastAsia" w:hAnsiTheme="minorHAnsi"/>
        </w:rPr>
        <w:t>High-Demand Areas</w:t>
      </w:r>
      <w:r w:rsidRPr="005347D3">
        <w:rPr>
          <w:rFonts w:asciiTheme="minorHAnsi" w:hAnsiTheme="minorHAnsi"/>
        </w:rPr>
        <w:t>:</w:t>
      </w:r>
    </w:p>
    <w:p w14:paraId="4C1B3207"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Mental health support</w:t>
      </w:r>
    </w:p>
    <w:p w14:paraId="4A5B1BC5"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Services for neurodivergent individuals (and assessment gaps)</w:t>
      </w:r>
    </w:p>
    <w:p w14:paraId="24453D9E"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Trauma-informed addiction support</w:t>
      </w:r>
    </w:p>
    <w:p w14:paraId="0F59A334"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Parenting and peer support groups</w:t>
      </w:r>
    </w:p>
    <w:p w14:paraId="7CD6BC55"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Youth services are lacking</w:t>
      </w:r>
    </w:p>
    <w:p w14:paraId="5503FCCB" w14:textId="77777777" w:rsidR="00357A34" w:rsidRPr="005347D3" w:rsidRDefault="00357A34" w:rsidP="00357A34">
      <w:pPr>
        <w:pStyle w:val="NormalWeb"/>
        <w:numPr>
          <w:ilvl w:val="0"/>
          <w:numId w:val="1"/>
        </w:numPr>
        <w:rPr>
          <w:rFonts w:asciiTheme="minorHAnsi" w:hAnsiTheme="minorHAnsi"/>
        </w:rPr>
      </w:pPr>
      <w:r w:rsidRPr="005347D3">
        <w:rPr>
          <w:rStyle w:val="Strong"/>
          <w:rFonts w:asciiTheme="minorHAnsi" w:eastAsiaTheme="majorEastAsia" w:hAnsiTheme="minorHAnsi"/>
        </w:rPr>
        <w:t>Underserved Groups</w:t>
      </w:r>
      <w:r w:rsidRPr="005347D3">
        <w:rPr>
          <w:rFonts w:asciiTheme="minorHAnsi" w:hAnsiTheme="minorHAnsi"/>
        </w:rPr>
        <w:t>:</w:t>
      </w:r>
    </w:p>
    <w:p w14:paraId="1505D197"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Neurodivergent children and families</w:t>
      </w:r>
    </w:p>
    <w:p w14:paraId="1B46392B"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Parents with complex needs</w:t>
      </w:r>
    </w:p>
    <w:p w14:paraId="700BD9A5"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Families disengaged from statutory services</w:t>
      </w:r>
    </w:p>
    <w:p w14:paraId="11A98388"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Those experiencing rural poverty (not adequately captured in official statistics due to unaccounted high living and transport costs)</w:t>
      </w:r>
    </w:p>
    <w:p w14:paraId="2F27C429" w14:textId="77777777" w:rsidR="00357A34" w:rsidRPr="005347D3" w:rsidRDefault="00357A34" w:rsidP="00357A34">
      <w:pPr>
        <w:pStyle w:val="NormalWeb"/>
        <w:numPr>
          <w:ilvl w:val="0"/>
          <w:numId w:val="1"/>
        </w:numPr>
        <w:rPr>
          <w:rFonts w:asciiTheme="minorHAnsi" w:hAnsiTheme="minorHAnsi"/>
        </w:rPr>
      </w:pPr>
      <w:r w:rsidRPr="005347D3">
        <w:rPr>
          <w:rStyle w:val="Strong"/>
          <w:rFonts w:asciiTheme="minorHAnsi" w:eastAsiaTheme="majorEastAsia" w:hAnsiTheme="minorHAnsi"/>
        </w:rPr>
        <w:t>Strengths Identified</w:t>
      </w:r>
      <w:r w:rsidRPr="005347D3">
        <w:rPr>
          <w:rFonts w:asciiTheme="minorHAnsi" w:hAnsiTheme="minorHAnsi"/>
        </w:rPr>
        <w:t>:</w:t>
      </w:r>
    </w:p>
    <w:p w14:paraId="239D24E0"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Trauma-informed practices</w:t>
      </w:r>
    </w:p>
    <w:p w14:paraId="5E9C5FE4"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Growing statutory-voluntary collaboration</w:t>
      </w:r>
    </w:p>
    <w:p w14:paraId="3017A8B6"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Strength-based coaching</w:t>
      </w:r>
    </w:p>
    <w:p w14:paraId="16B023C3"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Peer support networks</w:t>
      </w:r>
    </w:p>
    <w:p w14:paraId="7E58BAEA" w14:textId="77777777" w:rsidR="00357A34" w:rsidRPr="005347D3" w:rsidRDefault="00357A34" w:rsidP="00357A34">
      <w:pPr>
        <w:pStyle w:val="NormalWeb"/>
        <w:numPr>
          <w:ilvl w:val="0"/>
          <w:numId w:val="1"/>
        </w:numPr>
        <w:rPr>
          <w:rFonts w:asciiTheme="minorHAnsi" w:hAnsiTheme="minorHAnsi"/>
        </w:rPr>
      </w:pPr>
      <w:r w:rsidRPr="005347D3">
        <w:rPr>
          <w:rStyle w:val="Strong"/>
          <w:rFonts w:asciiTheme="minorHAnsi" w:eastAsiaTheme="majorEastAsia" w:hAnsiTheme="minorHAnsi"/>
        </w:rPr>
        <w:t>Barriers/Challenges</w:t>
      </w:r>
      <w:r w:rsidRPr="005347D3">
        <w:rPr>
          <w:rFonts w:asciiTheme="minorHAnsi" w:hAnsiTheme="minorHAnsi"/>
        </w:rPr>
        <w:t>:</w:t>
      </w:r>
    </w:p>
    <w:p w14:paraId="2D07A35D"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Lack of visibility and awareness of services</w:t>
      </w:r>
    </w:p>
    <w:p w14:paraId="1912E01C"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Long waiting times and high service thresholds</w:t>
      </w:r>
    </w:p>
    <w:p w14:paraId="042C43EE"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Stigma in small communities (fear of being seen accessing services)</w:t>
      </w:r>
    </w:p>
    <w:p w14:paraId="3136A5F4"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Fragmented services and reliance on short-term funding</w:t>
      </w:r>
    </w:p>
    <w:p w14:paraId="188946BA" w14:textId="77777777" w:rsidR="00357A34" w:rsidRPr="005347D3" w:rsidRDefault="00357A34" w:rsidP="00357A34">
      <w:pPr>
        <w:pStyle w:val="NormalWeb"/>
        <w:numPr>
          <w:ilvl w:val="0"/>
          <w:numId w:val="1"/>
        </w:numPr>
        <w:rPr>
          <w:rFonts w:asciiTheme="minorHAnsi" w:hAnsiTheme="minorHAnsi"/>
        </w:rPr>
      </w:pPr>
      <w:r w:rsidRPr="005347D3">
        <w:rPr>
          <w:rStyle w:val="Strong"/>
          <w:rFonts w:asciiTheme="minorHAnsi" w:eastAsiaTheme="majorEastAsia" w:hAnsiTheme="minorHAnsi"/>
        </w:rPr>
        <w:t>Next Steps</w:t>
      </w:r>
      <w:r w:rsidRPr="005347D3">
        <w:rPr>
          <w:rFonts w:asciiTheme="minorHAnsi" w:hAnsiTheme="minorHAnsi"/>
        </w:rPr>
        <w:t>:</w:t>
      </w:r>
    </w:p>
    <w:p w14:paraId="656B132D" w14:textId="77777777" w:rsidR="00357A34" w:rsidRPr="005347D3" w:rsidRDefault="00357A34" w:rsidP="00357A34">
      <w:pPr>
        <w:pStyle w:val="NormalWeb"/>
        <w:numPr>
          <w:ilvl w:val="1"/>
          <w:numId w:val="1"/>
        </w:numPr>
        <w:rPr>
          <w:rFonts w:asciiTheme="minorHAnsi" w:hAnsiTheme="minorHAnsi"/>
        </w:rPr>
      </w:pPr>
      <w:r w:rsidRPr="005347D3">
        <w:rPr>
          <w:rFonts w:asciiTheme="minorHAnsi" w:hAnsiTheme="minorHAnsi"/>
        </w:rPr>
        <w:t>Draft findings will inform a sector-led response and recommendations</w:t>
      </w:r>
    </w:p>
    <w:p w14:paraId="4C30CB81" w14:textId="5EF8A995" w:rsidR="00100B28" w:rsidRPr="00AA6BB5" w:rsidRDefault="00357A34" w:rsidP="00AA6BB5">
      <w:pPr>
        <w:pStyle w:val="NormalWeb"/>
        <w:numPr>
          <w:ilvl w:val="1"/>
          <w:numId w:val="1"/>
        </w:numPr>
        <w:rPr>
          <w:rFonts w:asciiTheme="minorHAnsi" w:hAnsiTheme="minorHAnsi"/>
        </w:rPr>
      </w:pPr>
      <w:r w:rsidRPr="005347D3">
        <w:rPr>
          <w:rFonts w:asciiTheme="minorHAnsi" w:hAnsiTheme="minorHAnsi"/>
        </w:rPr>
        <w:t>Input from today’s discussion will help shape that respons</w:t>
      </w:r>
      <w:r w:rsidR="00AA6BB5">
        <w:rPr>
          <w:rFonts w:asciiTheme="minorHAnsi" w:hAnsiTheme="minorHAnsi"/>
        </w:rPr>
        <w:t>e</w:t>
      </w:r>
    </w:p>
    <w:p w14:paraId="0A060220" w14:textId="77777777" w:rsidR="00100B28" w:rsidRPr="005347D3" w:rsidRDefault="00100B28">
      <w:pPr>
        <w:rPr>
          <w:u w:val="single"/>
        </w:rPr>
      </w:pPr>
    </w:p>
    <w:p w14:paraId="3FD29CF2" w14:textId="06FBEED4" w:rsidR="00357A34" w:rsidRPr="005347D3" w:rsidRDefault="00100B28">
      <w:pPr>
        <w:rPr>
          <w:b/>
          <w:bCs/>
          <w:u w:val="single"/>
        </w:rPr>
      </w:pPr>
      <w:r w:rsidRPr="005347D3">
        <w:rPr>
          <w:b/>
          <w:bCs/>
          <w:u w:val="single"/>
        </w:rPr>
        <w:t>Updates from meetings attended</w:t>
      </w:r>
    </w:p>
    <w:p w14:paraId="52AD6294" w14:textId="2C79B3A7" w:rsidR="00100B28" w:rsidRPr="005347D3" w:rsidRDefault="00100B28">
      <w:pPr>
        <w:rPr>
          <w:b/>
          <w:bCs/>
        </w:rPr>
      </w:pPr>
      <w:r w:rsidRPr="005347D3">
        <w:rPr>
          <w:b/>
          <w:bCs/>
        </w:rPr>
        <w:t>Mandy Sheridan</w:t>
      </w:r>
      <w:r w:rsidR="00FD284A" w:rsidRPr="005347D3">
        <w:rPr>
          <w:b/>
          <w:bCs/>
        </w:rPr>
        <w:t xml:space="preserve"> update</w:t>
      </w:r>
    </w:p>
    <w:p w14:paraId="17163047" w14:textId="77777777" w:rsidR="00FD284A" w:rsidRPr="005347D3" w:rsidRDefault="00FD284A" w:rsidP="00FD284A">
      <w:pPr>
        <w:pStyle w:val="NormalWeb"/>
        <w:rPr>
          <w:rFonts w:asciiTheme="minorHAnsi" w:hAnsiTheme="minorHAnsi"/>
        </w:rPr>
      </w:pPr>
      <w:r w:rsidRPr="005347D3">
        <w:rPr>
          <w:rStyle w:val="Strong"/>
          <w:rFonts w:asciiTheme="minorHAnsi" w:eastAsiaTheme="majorEastAsia" w:hAnsiTheme="minorHAnsi"/>
        </w:rPr>
        <w:t>Violence Against Women and Girls (VAWG):</w:t>
      </w:r>
      <w:r w:rsidRPr="005347D3">
        <w:rPr>
          <w:rFonts w:asciiTheme="minorHAnsi" w:hAnsiTheme="minorHAnsi"/>
        </w:rPr>
        <w:br/>
        <w:t>Recent meetings with COSLA and engagement with the Scottish Government have highlighted a strong concern among local leads that national government is not adequately identifying or resourcing the needs around VAWG. There's a growing call not only for statutory funding but also for recognition of regional disparities in council resources. A key ask is for dedicated, funded VAWG leads or coordinators in every partnership area. Watch this space for developments.</w:t>
      </w:r>
    </w:p>
    <w:p w14:paraId="4946D5F4" w14:textId="77777777" w:rsidR="00FD284A" w:rsidRPr="005347D3" w:rsidRDefault="00FD284A" w:rsidP="00FD284A">
      <w:pPr>
        <w:pStyle w:val="NormalWeb"/>
        <w:rPr>
          <w:rFonts w:asciiTheme="minorHAnsi" w:hAnsiTheme="minorHAnsi"/>
        </w:rPr>
      </w:pPr>
      <w:r w:rsidRPr="005347D3">
        <w:rPr>
          <w:rStyle w:val="Strong"/>
          <w:rFonts w:asciiTheme="minorHAnsi" w:eastAsiaTheme="majorEastAsia" w:hAnsiTheme="minorHAnsi"/>
        </w:rPr>
        <w:t>Children’s Rights and Training Framework:</w:t>
      </w:r>
      <w:r w:rsidRPr="005347D3">
        <w:rPr>
          <w:rFonts w:asciiTheme="minorHAnsi" w:hAnsiTheme="minorHAnsi"/>
        </w:rPr>
        <w:br/>
        <w:t>Work is ongoing through the implementation group to promote the children’s rights staff development and training framework. There’s some debate about the level of central guidance needed, but the framework offers three tiers of training, and many believe department heads can self-direct its application. This will be discussed with senior groups like SLT and IJB soon.</w:t>
      </w:r>
    </w:p>
    <w:p w14:paraId="3D8ADA64" w14:textId="77777777" w:rsidR="00FD284A" w:rsidRPr="005347D3" w:rsidRDefault="00FD284A" w:rsidP="00FD284A">
      <w:pPr>
        <w:pStyle w:val="NormalWeb"/>
        <w:rPr>
          <w:rFonts w:asciiTheme="minorHAnsi" w:hAnsiTheme="minorHAnsi"/>
        </w:rPr>
      </w:pPr>
      <w:r w:rsidRPr="005347D3">
        <w:rPr>
          <w:rStyle w:val="Strong"/>
          <w:rFonts w:asciiTheme="minorHAnsi" w:eastAsiaTheme="majorEastAsia" w:hAnsiTheme="minorHAnsi"/>
        </w:rPr>
        <w:t>Infant Food Insecurity Pilot:</w:t>
      </w:r>
      <w:r w:rsidRPr="005347D3">
        <w:rPr>
          <w:rFonts w:asciiTheme="minorHAnsi" w:hAnsiTheme="minorHAnsi"/>
        </w:rPr>
        <w:br/>
        <w:t>The six-month review of the pilot addressing infant food crises—especially the urgent need for baby formula—has shown promising results. The model uses £30 supermarket gift vouchers distributed via health visitors and midwives. So far, it’s been used 7 times in genuine crisis situations. Given its success, it will continue through December to gather a full year of data.</w:t>
      </w:r>
    </w:p>
    <w:p w14:paraId="12E9059F" w14:textId="77777777" w:rsidR="00FD284A" w:rsidRPr="005347D3" w:rsidRDefault="00FD284A" w:rsidP="00FD284A">
      <w:pPr>
        <w:pStyle w:val="NormalWeb"/>
        <w:rPr>
          <w:rFonts w:asciiTheme="minorHAnsi" w:hAnsiTheme="minorHAnsi"/>
        </w:rPr>
      </w:pPr>
      <w:r w:rsidRPr="005347D3">
        <w:rPr>
          <w:rStyle w:val="Strong"/>
          <w:rFonts w:asciiTheme="minorHAnsi" w:eastAsiaTheme="majorEastAsia" w:hAnsiTheme="minorHAnsi"/>
        </w:rPr>
        <w:t>Tackling Rural Child Poverty:</w:t>
      </w:r>
      <w:r w:rsidRPr="005347D3">
        <w:rPr>
          <w:rFonts w:asciiTheme="minorHAnsi" w:hAnsiTheme="minorHAnsi"/>
        </w:rPr>
        <w:br/>
        <w:t>The council has again secured £145K to address rural child poverty. Last year’s spend on school meal top-ups, gift cards, and food banks proved administratively heavy, so new methods for this year’s allocation are being explored.</w:t>
      </w:r>
    </w:p>
    <w:p w14:paraId="197CE038" w14:textId="53EDD633" w:rsidR="00AB0E91" w:rsidRPr="005347D3" w:rsidRDefault="00FD284A" w:rsidP="00FD284A">
      <w:pPr>
        <w:pStyle w:val="NormalWeb"/>
        <w:rPr>
          <w:rFonts w:asciiTheme="minorHAnsi" w:hAnsiTheme="minorHAnsi"/>
        </w:rPr>
      </w:pPr>
      <w:r w:rsidRPr="005347D3">
        <w:rPr>
          <w:rStyle w:val="Strong"/>
          <w:rFonts w:asciiTheme="minorHAnsi" w:eastAsiaTheme="majorEastAsia" w:hAnsiTheme="minorHAnsi"/>
        </w:rPr>
        <w:t>Child Protection Review:</w:t>
      </w:r>
      <w:r w:rsidRPr="005347D3">
        <w:rPr>
          <w:rFonts w:asciiTheme="minorHAnsi" w:hAnsiTheme="minorHAnsi"/>
        </w:rPr>
        <w:br/>
        <w:t>This is currently underway and expected in draft form by the end of August.</w:t>
      </w:r>
    </w:p>
    <w:p w14:paraId="30CBF69D" w14:textId="0FFDE52A" w:rsidR="00100B28" w:rsidRPr="005347D3" w:rsidRDefault="00AB0E91" w:rsidP="00100B28">
      <w:pPr>
        <w:rPr>
          <w:b/>
          <w:bCs/>
        </w:rPr>
      </w:pPr>
      <w:r w:rsidRPr="005347D3">
        <w:rPr>
          <w:b/>
          <w:bCs/>
        </w:rPr>
        <w:t>Sharon Erskine</w:t>
      </w:r>
      <w:r w:rsidR="00FD284A" w:rsidRPr="005347D3">
        <w:rPr>
          <w:b/>
          <w:bCs/>
        </w:rPr>
        <w:t xml:space="preserve"> update</w:t>
      </w:r>
    </w:p>
    <w:p w14:paraId="2BBE1D90" w14:textId="7B763DF0" w:rsidR="00AB0E91" w:rsidRPr="005347D3" w:rsidRDefault="00AB0E91" w:rsidP="00AB0E91">
      <w:pPr>
        <w:pStyle w:val="NormalWeb"/>
        <w:rPr>
          <w:rFonts w:asciiTheme="minorHAnsi" w:hAnsiTheme="minorHAnsi"/>
        </w:rPr>
      </w:pPr>
      <w:r w:rsidRPr="005347D3">
        <w:rPr>
          <w:rStyle w:val="Strong"/>
          <w:rFonts w:asciiTheme="minorHAnsi" w:eastAsiaTheme="majorEastAsia" w:hAnsiTheme="minorHAnsi"/>
        </w:rPr>
        <w:t>Vulnerable Young Person's Working Group &amp; Contextual Safeguarding</w:t>
      </w:r>
      <w:r w:rsidRPr="005347D3">
        <w:rPr>
          <w:rFonts w:asciiTheme="minorHAnsi" w:hAnsiTheme="minorHAnsi"/>
        </w:rPr>
        <w:br/>
        <w:t>The Vulnerable Young Person’s Working Group (still formally named) continues to focus on contextual safeguarding. A specialist has been brought in to support this work and develop a plan moving forward. This initiative targets high-risk young people—particularly girls at risk of sexual exploitation and boys involved in criminal exploitation. Discussions include expanding youth services, especially after 10:30 PM, to prevent young people from being left vulnerable at night.</w:t>
      </w:r>
    </w:p>
    <w:p w14:paraId="3780D6B6" w14:textId="77777777" w:rsidR="00AB0E91" w:rsidRPr="005347D3" w:rsidRDefault="00AB0E91" w:rsidP="00AB0E91">
      <w:pPr>
        <w:pStyle w:val="NormalWeb"/>
        <w:rPr>
          <w:rFonts w:asciiTheme="minorHAnsi" w:hAnsiTheme="minorHAnsi"/>
        </w:rPr>
      </w:pPr>
      <w:r w:rsidRPr="005347D3">
        <w:rPr>
          <w:rStyle w:val="Strong"/>
          <w:rFonts w:asciiTheme="minorHAnsi" w:eastAsiaTheme="majorEastAsia" w:hAnsiTheme="minorHAnsi"/>
        </w:rPr>
        <w:t>Pre-Birth Working Group</w:t>
      </w:r>
      <w:r w:rsidRPr="005347D3">
        <w:rPr>
          <w:rFonts w:asciiTheme="minorHAnsi" w:hAnsiTheme="minorHAnsi"/>
        </w:rPr>
        <w:br/>
        <w:t>The Pre-Birth Working Group is moving towards business-as-usual operations. It aims to create a clear referral pathway for high-risk pregnancies, allowing early intervention through a triage team. Updates and training resources have been circulated—contact Kirsten if you haven’t received them.</w:t>
      </w:r>
    </w:p>
    <w:p w14:paraId="6A310374" w14:textId="77777777" w:rsidR="00AA6BB5" w:rsidRDefault="00AB0E91" w:rsidP="00AB0E91">
      <w:pPr>
        <w:pStyle w:val="NormalWeb"/>
        <w:rPr>
          <w:rFonts w:asciiTheme="minorHAnsi" w:hAnsiTheme="minorHAnsi"/>
        </w:rPr>
      </w:pPr>
      <w:r w:rsidRPr="005347D3">
        <w:rPr>
          <w:rStyle w:val="Strong"/>
          <w:rFonts w:asciiTheme="minorHAnsi" w:eastAsiaTheme="majorEastAsia" w:hAnsiTheme="minorHAnsi"/>
        </w:rPr>
        <w:t>Child Protection Committee</w:t>
      </w:r>
      <w:r w:rsidRPr="005347D3">
        <w:rPr>
          <w:rFonts w:asciiTheme="minorHAnsi" w:hAnsiTheme="minorHAnsi"/>
        </w:rPr>
        <w:br/>
        <w:t>A report was submitted for the recent meeting, though attendance was impacted by a scheduling clash with a Glasgow conference. Minutes are being reviewed.</w:t>
      </w:r>
    </w:p>
    <w:p w14:paraId="46478706" w14:textId="5C9F66A1" w:rsidR="00AB0E91" w:rsidRPr="005347D3" w:rsidRDefault="00AB0E91" w:rsidP="00AB0E91">
      <w:pPr>
        <w:pStyle w:val="NormalWeb"/>
        <w:rPr>
          <w:rFonts w:asciiTheme="minorHAnsi" w:hAnsiTheme="minorHAnsi"/>
        </w:rPr>
      </w:pPr>
      <w:r w:rsidRPr="005347D3">
        <w:rPr>
          <w:rStyle w:val="Strong"/>
          <w:rFonts w:asciiTheme="minorHAnsi" w:eastAsiaTheme="majorEastAsia" w:hAnsiTheme="minorHAnsi"/>
        </w:rPr>
        <w:lastRenderedPageBreak/>
        <w:t xml:space="preserve">Bairns </w:t>
      </w:r>
      <w:r w:rsidR="00FD284A" w:rsidRPr="005347D3">
        <w:rPr>
          <w:rStyle w:val="Strong"/>
          <w:rFonts w:asciiTheme="minorHAnsi" w:eastAsiaTheme="majorEastAsia" w:hAnsiTheme="minorHAnsi"/>
        </w:rPr>
        <w:t>H</w:t>
      </w:r>
      <w:r w:rsidRPr="005347D3">
        <w:rPr>
          <w:rStyle w:val="Strong"/>
          <w:rFonts w:asciiTheme="minorHAnsi" w:eastAsiaTheme="majorEastAsia" w:hAnsiTheme="minorHAnsi"/>
        </w:rPr>
        <w:t>oose</w:t>
      </w:r>
      <w:r w:rsidR="00FD284A" w:rsidRPr="005347D3">
        <w:rPr>
          <w:rStyle w:val="Strong"/>
          <w:rFonts w:asciiTheme="minorHAnsi" w:eastAsiaTheme="majorEastAsia" w:hAnsiTheme="minorHAnsi"/>
        </w:rPr>
        <w:t xml:space="preserve"> </w:t>
      </w:r>
      <w:r w:rsidRPr="005347D3">
        <w:rPr>
          <w:rStyle w:val="Strong"/>
          <w:rFonts w:asciiTheme="minorHAnsi" w:eastAsiaTheme="majorEastAsia" w:hAnsiTheme="minorHAnsi"/>
        </w:rPr>
        <w:t>in Helensburgh</w:t>
      </w:r>
      <w:r w:rsidRPr="005347D3">
        <w:rPr>
          <w:rFonts w:asciiTheme="minorHAnsi" w:hAnsiTheme="minorHAnsi"/>
        </w:rPr>
        <w:br/>
        <w:t>The centre is now open and operational, developed under the Scottish Government's model and agreement—a significant achievement after several years of work.</w:t>
      </w:r>
    </w:p>
    <w:p w14:paraId="4113CDB7" w14:textId="77777777" w:rsidR="00AB0E91" w:rsidRPr="005347D3" w:rsidRDefault="00AB0E91" w:rsidP="00AB0E91">
      <w:pPr>
        <w:pStyle w:val="NormalWeb"/>
        <w:rPr>
          <w:rFonts w:asciiTheme="minorHAnsi" w:hAnsiTheme="minorHAnsi"/>
        </w:rPr>
      </w:pPr>
      <w:r w:rsidRPr="005347D3">
        <w:rPr>
          <w:rStyle w:val="Strong"/>
          <w:rFonts w:asciiTheme="minorHAnsi" w:eastAsiaTheme="majorEastAsia" w:hAnsiTheme="minorHAnsi"/>
        </w:rPr>
        <w:t>Practitioner Feedback Events</w:t>
      </w:r>
      <w:r w:rsidRPr="005347D3">
        <w:rPr>
          <w:rFonts w:asciiTheme="minorHAnsi" w:hAnsiTheme="minorHAnsi"/>
        </w:rPr>
        <w:br/>
        <w:t>Invites are going out via Kirsten for local practitioner feedback events and workshops, including ones focused on child protection. Please attend if possible.</w:t>
      </w:r>
    </w:p>
    <w:p w14:paraId="2FC7CBD5" w14:textId="77777777" w:rsidR="00AB0E91" w:rsidRPr="005347D3" w:rsidRDefault="00AB0E91" w:rsidP="00AB0E91">
      <w:pPr>
        <w:pStyle w:val="NormalWeb"/>
        <w:rPr>
          <w:rFonts w:asciiTheme="minorHAnsi" w:hAnsiTheme="minorHAnsi"/>
        </w:rPr>
      </w:pPr>
      <w:r w:rsidRPr="005347D3">
        <w:rPr>
          <w:rStyle w:val="Strong"/>
          <w:rFonts w:asciiTheme="minorHAnsi" w:eastAsiaTheme="majorEastAsia" w:hAnsiTheme="minorHAnsi"/>
        </w:rPr>
        <w:t>ADP &amp; Adult Services Training</w:t>
      </w:r>
      <w:r w:rsidRPr="005347D3">
        <w:rPr>
          <w:rFonts w:asciiTheme="minorHAnsi" w:hAnsiTheme="minorHAnsi"/>
        </w:rPr>
        <w:br/>
        <w:t>A child protection workshop for adult sector colleagues (via Laura Stevenson) is in development, due by end of August. It will include resources and reporting templates for services involved in child protection planning. The training is open to anyone who finds it relevant, not just adult sector staff.</w:t>
      </w:r>
    </w:p>
    <w:p w14:paraId="1EE388DE" w14:textId="77777777" w:rsidR="00AB0E91" w:rsidRPr="005347D3" w:rsidRDefault="00AB0E91" w:rsidP="00AB0E91">
      <w:pPr>
        <w:pStyle w:val="NormalWeb"/>
        <w:rPr>
          <w:rFonts w:asciiTheme="minorHAnsi" w:hAnsiTheme="minorHAnsi"/>
        </w:rPr>
      </w:pPr>
      <w:r w:rsidRPr="005347D3">
        <w:rPr>
          <w:rStyle w:val="Strong"/>
          <w:rFonts w:asciiTheme="minorHAnsi" w:eastAsiaTheme="majorEastAsia" w:hAnsiTheme="minorHAnsi"/>
        </w:rPr>
        <w:t>Training &amp; Development</w:t>
      </w:r>
      <w:r w:rsidRPr="005347D3">
        <w:rPr>
          <w:rFonts w:asciiTheme="minorHAnsi" w:hAnsiTheme="minorHAnsi"/>
        </w:rPr>
        <w:br/>
        <w:t>Child protection training, including for children with disabilities, is ongoing. Visit the Argyll &amp; Bute Child Protection website for current offerings and to register.</w:t>
      </w:r>
    </w:p>
    <w:p w14:paraId="08A0B8CB" w14:textId="2FAAFCF4" w:rsidR="00FD284A" w:rsidRPr="005347D3" w:rsidRDefault="00AB0E91" w:rsidP="005347D3">
      <w:pPr>
        <w:pStyle w:val="NormalWeb"/>
        <w:rPr>
          <w:rFonts w:asciiTheme="minorHAnsi" w:hAnsiTheme="minorHAnsi"/>
        </w:rPr>
      </w:pPr>
      <w:r w:rsidRPr="005347D3">
        <w:rPr>
          <w:rStyle w:val="Strong"/>
          <w:rFonts w:asciiTheme="minorHAnsi" w:eastAsiaTheme="majorEastAsia" w:hAnsiTheme="minorHAnsi"/>
        </w:rPr>
        <w:t>Perinatal Mental Health Group</w:t>
      </w:r>
      <w:r w:rsidRPr="005347D3">
        <w:rPr>
          <w:rFonts w:asciiTheme="minorHAnsi" w:hAnsiTheme="minorHAnsi"/>
        </w:rPr>
        <w:br/>
        <w:t>The group is under review and will restart following Oversight Group discussions. Training for Institute of Visiting is also underway—email updates to follow. Reach out if you have new staff in need of specific training.</w:t>
      </w:r>
    </w:p>
    <w:p w14:paraId="6B99F936" w14:textId="77777777" w:rsidR="00FD284A" w:rsidRPr="005347D3" w:rsidRDefault="00FD284A" w:rsidP="00FD284A">
      <w:pPr>
        <w:rPr>
          <w:b/>
          <w:bCs/>
        </w:rPr>
      </w:pPr>
      <w:r w:rsidRPr="005347D3">
        <w:rPr>
          <w:b/>
          <w:bCs/>
        </w:rPr>
        <w:t>Tanya MacDougall update</w:t>
      </w:r>
    </w:p>
    <w:p w14:paraId="3912BD1B" w14:textId="7FCE8A81" w:rsidR="00FD284A" w:rsidRPr="005347D3" w:rsidRDefault="00FD284A" w:rsidP="00FD284A">
      <w:pPr>
        <w:rPr>
          <w:b/>
          <w:bCs/>
        </w:rPr>
      </w:pPr>
      <w:r w:rsidRPr="005347D3">
        <w:rPr>
          <w:b/>
          <w:bCs/>
        </w:rPr>
        <w:t xml:space="preserve">Trauma Training </w:t>
      </w:r>
    </w:p>
    <w:p w14:paraId="1A470AD3" w14:textId="2536D960" w:rsidR="00FD284A" w:rsidRPr="005347D3" w:rsidRDefault="00FD284A" w:rsidP="00FD284A">
      <w:r w:rsidRPr="005347D3">
        <w:t>Claire is on maternity leave, Lee Miller is overseeing NHS trauma training. A new system has been set up for onboarding staff who need trauma training. It includes a list of all relevant courses—on Leon, TURAS, and other platform</w:t>
      </w:r>
      <w:r w:rsidR="00C4496D">
        <w:t>s</w:t>
      </w:r>
      <w:r w:rsidRPr="005347D3">
        <w:t xml:space="preserve">. </w:t>
      </w:r>
      <w:r w:rsidR="00262E5B">
        <w:t>Allowing</w:t>
      </w:r>
      <w:r w:rsidRPr="005347D3">
        <w:t xml:space="preserve"> you to choose the appropriate level of training for your staff and get them started quickly, especially given current pressures on mental health services.</w:t>
      </w:r>
    </w:p>
    <w:p w14:paraId="1A85D062" w14:textId="0A621C6A" w:rsidR="00FD284A" w:rsidRPr="005347D3" w:rsidRDefault="00FD284A" w:rsidP="00FD284A">
      <w:r w:rsidRPr="005347D3">
        <w:t>The list will be circulated again after today’s meeting. It includes step-by-step guidance for accessing online resources and webinars. There are also some live courses currently on the calendar, but if time is short, the online TURAS courses are excellent and recommended.</w:t>
      </w:r>
    </w:p>
    <w:p w14:paraId="273038D4" w14:textId="6686D0C4" w:rsidR="00AB0E91" w:rsidRPr="005347D3" w:rsidRDefault="00FD284A" w:rsidP="00FD284A">
      <w:r w:rsidRPr="005347D3">
        <w:t xml:space="preserve">Regarding the UNCR training: </w:t>
      </w:r>
      <w:r w:rsidR="00F44375">
        <w:t xml:space="preserve">being reviewed </w:t>
      </w:r>
      <w:r w:rsidRPr="005347D3">
        <w:t xml:space="preserve">from a third sector perspective and developing a training programme.  </w:t>
      </w:r>
      <w:r w:rsidR="00F44375">
        <w:t>Planning</w:t>
      </w:r>
      <w:r w:rsidRPr="005347D3">
        <w:t xml:space="preserve"> to support delivery through face-to-face sessions or discussion groups, depending on</w:t>
      </w:r>
      <w:r w:rsidR="00F44375">
        <w:t xml:space="preserve"> </w:t>
      </w:r>
      <w:r w:rsidRPr="005347D3">
        <w:t xml:space="preserve">needs. </w:t>
      </w:r>
    </w:p>
    <w:p w14:paraId="57075966" w14:textId="44FD6B58" w:rsidR="005347D3" w:rsidRPr="005347D3" w:rsidRDefault="005347D3" w:rsidP="00FD284A">
      <w:pPr>
        <w:rPr>
          <w:b/>
          <w:bCs/>
        </w:rPr>
      </w:pPr>
      <w:r w:rsidRPr="005347D3">
        <w:rPr>
          <w:b/>
          <w:bCs/>
        </w:rPr>
        <w:t>Takki Sulaiman update</w:t>
      </w:r>
    </w:p>
    <w:p w14:paraId="7BF9D3C0" w14:textId="033C0AE7" w:rsidR="00F25B16" w:rsidRPr="00F25B16" w:rsidRDefault="00F25B16" w:rsidP="00F25B16">
      <w:pPr>
        <w:rPr>
          <w:rFonts w:eastAsia="Times New Roman" w:cs="Times New Roman"/>
          <w:kern w:val="0"/>
          <w:lang w:eastAsia="en-GB"/>
          <w14:ligatures w14:val="none"/>
        </w:rPr>
      </w:pPr>
      <w:r w:rsidRPr="00F25B16">
        <w:rPr>
          <w:rFonts w:eastAsia="Times New Roman" w:cs="Times New Roman"/>
          <w:kern w:val="0"/>
          <w:lang w:eastAsia="en-GB"/>
          <w14:ligatures w14:val="none"/>
        </w:rPr>
        <w:t>As Co-Chair of the Corporate Parenting Board, I want to share an important update. Following discussions on better aligning our work with The Promise and avoiding duplication, we’ve agreed to merge efforts into a single, streamlined Promise Board. This approach, already adopted by some councils, will strengthen preventative and family support services while fulfilling our corporate parenting duties with clearer direction.</w:t>
      </w:r>
    </w:p>
    <w:p w14:paraId="60CEC6DE" w14:textId="7ECEBEEB" w:rsidR="00F25B16" w:rsidRPr="00F25B16" w:rsidRDefault="00F25B16" w:rsidP="00F25B16">
      <w:pPr>
        <w:rPr>
          <w:rFonts w:eastAsia="Times New Roman" w:cs="Times New Roman"/>
          <w:kern w:val="0"/>
          <w:lang w:eastAsia="en-GB"/>
          <w14:ligatures w14:val="none"/>
        </w:rPr>
      </w:pPr>
      <w:r w:rsidRPr="00F25B16">
        <w:rPr>
          <w:rFonts w:eastAsia="Times New Roman" w:cs="Times New Roman"/>
          <w:kern w:val="0"/>
          <w:lang w:eastAsia="en-GB"/>
          <w14:ligatures w14:val="none"/>
        </w:rPr>
        <w:t>A key driver for change is the limited voice of care-experienced young people in our current structure—partly due to the absence of a participation worker and the board’s bureaucratic nature. The new board will be more operational, responsive, and focused on direct engagement.</w:t>
      </w:r>
    </w:p>
    <w:p w14:paraId="77B0194C" w14:textId="7B8C7709" w:rsidR="00F25B16" w:rsidRPr="00F25B16" w:rsidRDefault="00F25B16" w:rsidP="00F25B16">
      <w:pPr>
        <w:rPr>
          <w:rFonts w:eastAsia="Times New Roman" w:cs="Times New Roman"/>
          <w:kern w:val="0"/>
          <w:lang w:eastAsia="en-GB"/>
          <w14:ligatures w14:val="none"/>
        </w:rPr>
      </w:pPr>
      <w:r w:rsidRPr="00F25B16">
        <w:rPr>
          <w:rFonts w:eastAsia="Times New Roman" w:cs="Times New Roman"/>
          <w:kern w:val="0"/>
          <w:lang w:eastAsia="en-GB"/>
          <w14:ligatures w14:val="none"/>
        </w:rPr>
        <w:lastRenderedPageBreak/>
        <w:t>We’ll meet on the 23rd to approve the new structure and terms of reference, which I’ll present. I offered to step down as Chair after two and a half years but have been asked to stay on a bit longer. I continue to advocate for a care-experienced Co-Chair, which previously worked well, and believe strongly in maintaining third sector and lived experience leadership.</w:t>
      </w:r>
    </w:p>
    <w:p w14:paraId="39C772F8" w14:textId="77777777" w:rsidR="00F25B16" w:rsidRPr="00F25B16" w:rsidRDefault="00F25B16" w:rsidP="00F25B16">
      <w:pPr>
        <w:rPr>
          <w:rFonts w:eastAsia="Times New Roman" w:cs="Times New Roman"/>
          <w:kern w:val="0"/>
          <w:lang w:eastAsia="en-GB"/>
          <w14:ligatures w14:val="none"/>
        </w:rPr>
      </w:pPr>
    </w:p>
    <w:p w14:paraId="18BA7E88" w14:textId="77777777" w:rsidR="00F25B16" w:rsidRDefault="00F25B16" w:rsidP="00F25B16">
      <w:pPr>
        <w:rPr>
          <w:rFonts w:eastAsia="Times New Roman" w:cs="Times New Roman"/>
          <w:kern w:val="0"/>
          <w:lang w:eastAsia="en-GB"/>
          <w14:ligatures w14:val="none"/>
        </w:rPr>
      </w:pPr>
      <w:r w:rsidRPr="00F25B16">
        <w:rPr>
          <w:rFonts w:eastAsia="Times New Roman" w:cs="Times New Roman"/>
          <w:kern w:val="0"/>
          <w:lang w:eastAsia="en-GB"/>
          <w14:ligatures w14:val="none"/>
        </w:rPr>
        <w:t>Lastly, I’ve proposed the new board oversee all relevant funding streams, including those linked to The Promise, to improve transparency and coordination.</w:t>
      </w:r>
    </w:p>
    <w:p w14:paraId="6319EAB4" w14:textId="5C7F3FAC" w:rsidR="005347D3" w:rsidRPr="002E34CC" w:rsidRDefault="005347D3" w:rsidP="00F25B16">
      <w:pPr>
        <w:rPr>
          <w:b/>
          <w:bCs/>
        </w:rPr>
      </w:pPr>
      <w:r w:rsidRPr="002E34CC">
        <w:rPr>
          <w:b/>
          <w:bCs/>
        </w:rPr>
        <w:t>Service updates</w:t>
      </w:r>
    </w:p>
    <w:p w14:paraId="2C75516C" w14:textId="31319353" w:rsidR="005347D3" w:rsidRPr="002E34CC" w:rsidRDefault="005347D3" w:rsidP="00FD284A">
      <w:pPr>
        <w:rPr>
          <w:b/>
          <w:bCs/>
        </w:rPr>
      </w:pPr>
      <w:r w:rsidRPr="002E34CC">
        <w:rPr>
          <w:b/>
          <w:bCs/>
        </w:rPr>
        <w:t>Debra Nelson SFAD</w:t>
      </w:r>
    </w:p>
    <w:p w14:paraId="26AADD3B" w14:textId="77777777" w:rsidR="005347D3" w:rsidRPr="005347D3" w:rsidRDefault="005347D3" w:rsidP="005347D3">
      <w:pPr>
        <w:pStyle w:val="NormalWeb"/>
        <w:rPr>
          <w:rFonts w:asciiTheme="minorHAnsi" w:hAnsiTheme="minorHAnsi"/>
        </w:rPr>
      </w:pPr>
      <w:r w:rsidRPr="005347D3">
        <w:rPr>
          <w:rFonts w:asciiTheme="minorHAnsi" w:hAnsiTheme="minorHAnsi"/>
        </w:rPr>
        <w:t>The Whole Family Fund has now been released, following the work Scottish families were tasked with. We’ve set up an implementation group and allocated £27,500 to support this. While it’s not a large sum, we’re inviting organisations to apply for up to £5,000 initially.</w:t>
      </w:r>
    </w:p>
    <w:p w14:paraId="03F5DD21" w14:textId="77777777" w:rsidR="005347D3" w:rsidRPr="005347D3" w:rsidRDefault="005347D3" w:rsidP="005347D3">
      <w:pPr>
        <w:pStyle w:val="NormalWeb"/>
        <w:rPr>
          <w:rFonts w:asciiTheme="minorHAnsi" w:hAnsiTheme="minorHAnsi"/>
        </w:rPr>
      </w:pPr>
      <w:r w:rsidRPr="005347D3">
        <w:rPr>
          <w:rFonts w:asciiTheme="minorHAnsi" w:hAnsiTheme="minorHAnsi"/>
        </w:rPr>
        <w:t>Kirsten has already shared this through third sector channels, but we’re happy to resend it if needed. Although £5,000 isn’t a huge amount, it can act as a valuable starting point. The application clearly outlines the five themes, and we’re open to conversations if applicants can justify needing more.</w:t>
      </w:r>
    </w:p>
    <w:p w14:paraId="0A30F36A" w14:textId="77777777" w:rsidR="005347D3" w:rsidRPr="005347D3" w:rsidRDefault="005347D3" w:rsidP="005347D3">
      <w:pPr>
        <w:pStyle w:val="NormalWeb"/>
        <w:rPr>
          <w:rFonts w:asciiTheme="minorHAnsi" w:hAnsiTheme="minorHAnsi"/>
        </w:rPr>
      </w:pPr>
      <w:r w:rsidRPr="005347D3">
        <w:rPr>
          <w:rFonts w:asciiTheme="minorHAnsi" w:hAnsiTheme="minorHAnsi"/>
        </w:rPr>
        <w:t>Additionally, we manage a separate Thrift Fund, which could be accessed to help strengthen bids financially through broader discussions.</w:t>
      </w:r>
    </w:p>
    <w:p w14:paraId="177B76AD" w14:textId="3A53694D" w:rsidR="005347D3" w:rsidRPr="005347D3" w:rsidRDefault="005347D3" w:rsidP="00FD284A">
      <w:pPr>
        <w:rPr>
          <w:b/>
          <w:bCs/>
        </w:rPr>
      </w:pPr>
      <w:r w:rsidRPr="005347D3">
        <w:rPr>
          <w:b/>
          <w:bCs/>
        </w:rPr>
        <w:t>Fran Prevadi ABWA</w:t>
      </w:r>
    </w:p>
    <w:p w14:paraId="374D820C" w14:textId="448DB275" w:rsidR="005347D3" w:rsidRPr="005347D3" w:rsidRDefault="005347D3" w:rsidP="005347D3">
      <w:pPr>
        <w:pStyle w:val="NormalWeb"/>
        <w:rPr>
          <w:rFonts w:asciiTheme="minorHAnsi" w:hAnsiTheme="minorHAnsi"/>
        </w:rPr>
      </w:pPr>
      <w:r w:rsidRPr="005347D3">
        <w:rPr>
          <w:rFonts w:asciiTheme="minorHAnsi" w:hAnsiTheme="minorHAnsi"/>
        </w:rPr>
        <w:t>ABWA recently welcomed a new worker who will be based in Dunoon.  Also, as part of our ongoing efforts to strengthen support, we’ve recognised the need to improve and expand our resources. You may hear from us as we reach out to better understand the resources you have available and to update our own.</w:t>
      </w:r>
    </w:p>
    <w:p w14:paraId="4A3D93E8" w14:textId="52AAED60" w:rsidR="005347D3" w:rsidRPr="00727146" w:rsidRDefault="00E57499" w:rsidP="00FD284A">
      <w:pPr>
        <w:rPr>
          <w:b/>
          <w:bCs/>
        </w:rPr>
      </w:pPr>
      <w:r w:rsidRPr="00727146">
        <w:rPr>
          <w:b/>
          <w:bCs/>
        </w:rPr>
        <w:t>Kerry Ann Doell</w:t>
      </w:r>
      <w:r w:rsidR="00727146" w:rsidRPr="00727146">
        <w:rPr>
          <w:b/>
          <w:bCs/>
        </w:rPr>
        <w:t xml:space="preserve"> CAMHS</w:t>
      </w:r>
    </w:p>
    <w:p w14:paraId="3AEB6D95" w14:textId="1AF42943" w:rsidR="00727146" w:rsidRDefault="00727146" w:rsidP="00727146">
      <w:r>
        <w:t xml:space="preserve">CAMHS is planning a new service initiative where all incoming referrals will receive an early engagement appointment (around 45 minutes). The goal is to quickly assess needs and signpost families to appropriate services, reducing long waiting times. </w:t>
      </w:r>
    </w:p>
    <w:p w14:paraId="1B0BA6C6" w14:textId="025DA2D4" w:rsidR="00EA08F0" w:rsidRDefault="00B54CE1" w:rsidP="00727146">
      <w:r>
        <w:t>CA</w:t>
      </w:r>
      <w:r w:rsidR="00EA08F0">
        <w:t xml:space="preserve">MHS want to </w:t>
      </w:r>
      <w:r w:rsidR="00727146">
        <w:t>highlight the importance of the consultation process for the new single point of access system. Everyone working with CAMHS families should provide feedback to ensure the system is inclusive and effective.</w:t>
      </w:r>
    </w:p>
    <w:p w14:paraId="7692BAD1" w14:textId="63B0B769" w:rsidR="00EA08F0" w:rsidRDefault="00C26928" w:rsidP="00727146">
      <w:pPr>
        <w:rPr>
          <w:b/>
          <w:bCs/>
        </w:rPr>
      </w:pPr>
      <w:r w:rsidRPr="007D7C63">
        <w:rPr>
          <w:b/>
          <w:bCs/>
        </w:rPr>
        <w:t xml:space="preserve">Agnes Ingram   </w:t>
      </w:r>
      <w:r w:rsidR="007D7C63" w:rsidRPr="007D7C63">
        <w:rPr>
          <w:b/>
          <w:bCs/>
        </w:rPr>
        <w:t>NAYCC</w:t>
      </w:r>
    </w:p>
    <w:p w14:paraId="27829CAF" w14:textId="7651C2D4" w:rsidR="00366D3E" w:rsidRPr="00366D3E" w:rsidRDefault="00366D3E" w:rsidP="00366D3E">
      <w:r>
        <w:t xml:space="preserve">Very </w:t>
      </w:r>
      <w:r w:rsidRPr="00366D3E">
        <w:t>busy with referrals and are pleased to have received several from T</w:t>
      </w:r>
      <w:r>
        <w:t>iree</w:t>
      </w:r>
      <w:r w:rsidRPr="00366D3E">
        <w:t>—an area where we previously had no young people engaged. We now have four and are expecting more. We've also launched the Young Carers Challenge with schools in our catchment area.</w:t>
      </w:r>
    </w:p>
    <w:p w14:paraId="7CBAB51B" w14:textId="7EE4569C" w:rsidR="007D7C63" w:rsidRPr="00366D3E" w:rsidRDefault="00366D3E" w:rsidP="00366D3E">
      <w:r w:rsidRPr="00366D3E">
        <w:t xml:space="preserve">Supported by </w:t>
      </w:r>
      <w:r w:rsidR="00EE2A26">
        <w:t>Carers Trust</w:t>
      </w:r>
      <w:r w:rsidRPr="00366D3E">
        <w:t xml:space="preserve">, this initiative involves helping schools develop young carer policies and appointing a young carers champion as a key contact. It's a long-term project, but we've started making progress and have plans to continue after the summer. We're excited about this work and </w:t>
      </w:r>
      <w:r w:rsidRPr="00366D3E">
        <w:lastRenderedPageBreak/>
        <w:t>hopeful it will increase awareness and lead to more referrals so young carers can get the support they need.</w:t>
      </w:r>
    </w:p>
    <w:p w14:paraId="4967FC07" w14:textId="7CD2E5A9" w:rsidR="007D7C63" w:rsidRDefault="00474E34" w:rsidP="00727146">
      <w:pPr>
        <w:rPr>
          <w:b/>
          <w:bCs/>
        </w:rPr>
      </w:pPr>
      <w:r>
        <w:rPr>
          <w:b/>
          <w:bCs/>
        </w:rPr>
        <w:t>AOCB</w:t>
      </w:r>
    </w:p>
    <w:p w14:paraId="4EC0594D" w14:textId="455FA056" w:rsidR="00474E34" w:rsidRPr="00D23C53" w:rsidRDefault="00474E34" w:rsidP="00727146">
      <w:r w:rsidRPr="00D23C53">
        <w:t>Date if next meeting Tuesday 12</w:t>
      </w:r>
      <w:r w:rsidRPr="00D23C53">
        <w:rPr>
          <w:vertAlign w:val="superscript"/>
        </w:rPr>
        <w:t>th</w:t>
      </w:r>
      <w:r w:rsidRPr="00D23C53">
        <w:t xml:space="preserve"> August </w:t>
      </w:r>
      <w:r w:rsidR="00D23C53" w:rsidRPr="00D23C53">
        <w:t>online 2pm</w:t>
      </w:r>
    </w:p>
    <w:sectPr w:rsidR="00474E34" w:rsidRPr="00D23C53" w:rsidSect="00357A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5D1"/>
    <w:multiLevelType w:val="multilevel"/>
    <w:tmpl w:val="6A0CE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11BC2"/>
    <w:multiLevelType w:val="multilevel"/>
    <w:tmpl w:val="3B8CF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E41CD"/>
    <w:multiLevelType w:val="multilevel"/>
    <w:tmpl w:val="0CB2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93F4C"/>
    <w:multiLevelType w:val="multilevel"/>
    <w:tmpl w:val="FB02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462AB"/>
    <w:multiLevelType w:val="multilevel"/>
    <w:tmpl w:val="1362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967558">
    <w:abstractNumId w:val="0"/>
  </w:num>
  <w:num w:numId="2" w16cid:durableId="1567103737">
    <w:abstractNumId w:val="2"/>
  </w:num>
  <w:num w:numId="3" w16cid:durableId="134761574">
    <w:abstractNumId w:val="4"/>
  </w:num>
  <w:num w:numId="4" w16cid:durableId="1129855428">
    <w:abstractNumId w:val="1"/>
  </w:num>
  <w:num w:numId="5" w16cid:durableId="11566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34"/>
    <w:rsid w:val="00100B28"/>
    <w:rsid w:val="001C3D2F"/>
    <w:rsid w:val="002147A3"/>
    <w:rsid w:val="00262E5B"/>
    <w:rsid w:val="002E34CC"/>
    <w:rsid w:val="002F25D4"/>
    <w:rsid w:val="00357A34"/>
    <w:rsid w:val="00366D3E"/>
    <w:rsid w:val="0038075A"/>
    <w:rsid w:val="00433099"/>
    <w:rsid w:val="00474E34"/>
    <w:rsid w:val="005347D3"/>
    <w:rsid w:val="005D7C02"/>
    <w:rsid w:val="006306E2"/>
    <w:rsid w:val="00727146"/>
    <w:rsid w:val="007D7C63"/>
    <w:rsid w:val="00883175"/>
    <w:rsid w:val="00AA6BB5"/>
    <w:rsid w:val="00AB0E91"/>
    <w:rsid w:val="00AC19EC"/>
    <w:rsid w:val="00AF3108"/>
    <w:rsid w:val="00B54CE1"/>
    <w:rsid w:val="00C26928"/>
    <w:rsid w:val="00C4496D"/>
    <w:rsid w:val="00D23C53"/>
    <w:rsid w:val="00D34A3C"/>
    <w:rsid w:val="00D557C6"/>
    <w:rsid w:val="00E20C07"/>
    <w:rsid w:val="00E57499"/>
    <w:rsid w:val="00EA08F0"/>
    <w:rsid w:val="00EE2A26"/>
    <w:rsid w:val="00F25B16"/>
    <w:rsid w:val="00F44375"/>
    <w:rsid w:val="00FD2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5973"/>
  <w15:chartTrackingRefBased/>
  <w15:docId w15:val="{3D7C0DE7-18B3-4516-8504-02FEC3DA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A34"/>
    <w:rPr>
      <w:rFonts w:eastAsiaTheme="majorEastAsia" w:cstheme="majorBidi"/>
      <w:color w:val="272727" w:themeColor="text1" w:themeTint="D8"/>
    </w:rPr>
  </w:style>
  <w:style w:type="paragraph" w:styleId="Title">
    <w:name w:val="Title"/>
    <w:basedOn w:val="Normal"/>
    <w:next w:val="Normal"/>
    <w:link w:val="TitleChar"/>
    <w:uiPriority w:val="10"/>
    <w:qFormat/>
    <w:rsid w:val="00357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A34"/>
    <w:pPr>
      <w:spacing w:before="160"/>
      <w:jc w:val="center"/>
    </w:pPr>
    <w:rPr>
      <w:i/>
      <w:iCs/>
      <w:color w:val="404040" w:themeColor="text1" w:themeTint="BF"/>
    </w:rPr>
  </w:style>
  <w:style w:type="character" w:customStyle="1" w:styleId="QuoteChar">
    <w:name w:val="Quote Char"/>
    <w:basedOn w:val="DefaultParagraphFont"/>
    <w:link w:val="Quote"/>
    <w:uiPriority w:val="29"/>
    <w:rsid w:val="00357A34"/>
    <w:rPr>
      <w:i/>
      <w:iCs/>
      <w:color w:val="404040" w:themeColor="text1" w:themeTint="BF"/>
    </w:rPr>
  </w:style>
  <w:style w:type="paragraph" w:styleId="ListParagraph">
    <w:name w:val="List Paragraph"/>
    <w:basedOn w:val="Normal"/>
    <w:uiPriority w:val="34"/>
    <w:qFormat/>
    <w:rsid w:val="00357A34"/>
    <w:pPr>
      <w:ind w:left="720"/>
      <w:contextualSpacing/>
    </w:pPr>
  </w:style>
  <w:style w:type="character" w:styleId="IntenseEmphasis">
    <w:name w:val="Intense Emphasis"/>
    <w:basedOn w:val="DefaultParagraphFont"/>
    <w:uiPriority w:val="21"/>
    <w:qFormat/>
    <w:rsid w:val="00357A34"/>
    <w:rPr>
      <w:i/>
      <w:iCs/>
      <w:color w:val="0F4761" w:themeColor="accent1" w:themeShade="BF"/>
    </w:rPr>
  </w:style>
  <w:style w:type="paragraph" w:styleId="IntenseQuote">
    <w:name w:val="Intense Quote"/>
    <w:basedOn w:val="Normal"/>
    <w:next w:val="Normal"/>
    <w:link w:val="IntenseQuoteChar"/>
    <w:uiPriority w:val="30"/>
    <w:qFormat/>
    <w:rsid w:val="00357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A34"/>
    <w:rPr>
      <w:i/>
      <w:iCs/>
      <w:color w:val="0F4761" w:themeColor="accent1" w:themeShade="BF"/>
    </w:rPr>
  </w:style>
  <w:style w:type="character" w:styleId="IntenseReference">
    <w:name w:val="Intense Reference"/>
    <w:basedOn w:val="DefaultParagraphFont"/>
    <w:uiPriority w:val="32"/>
    <w:qFormat/>
    <w:rsid w:val="00357A34"/>
    <w:rPr>
      <w:b/>
      <w:bCs/>
      <w:smallCaps/>
      <w:color w:val="0F4761" w:themeColor="accent1" w:themeShade="BF"/>
      <w:spacing w:val="5"/>
    </w:rPr>
  </w:style>
  <w:style w:type="paragraph" w:styleId="NormalWeb">
    <w:name w:val="Normal (Web)"/>
    <w:basedOn w:val="Normal"/>
    <w:uiPriority w:val="99"/>
    <w:unhideWhenUsed/>
    <w:rsid w:val="00357A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57A34"/>
    <w:rPr>
      <w:b/>
      <w:bCs/>
    </w:rPr>
  </w:style>
  <w:style w:type="character" w:styleId="Emphasis">
    <w:name w:val="Emphasis"/>
    <w:basedOn w:val="DefaultParagraphFont"/>
    <w:uiPriority w:val="20"/>
    <w:qFormat/>
    <w:rsid w:val="00534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8368">
      <w:bodyDiv w:val="1"/>
      <w:marLeft w:val="0"/>
      <w:marRight w:val="0"/>
      <w:marTop w:val="0"/>
      <w:marBottom w:val="0"/>
      <w:divBdr>
        <w:top w:val="none" w:sz="0" w:space="0" w:color="auto"/>
        <w:left w:val="none" w:sz="0" w:space="0" w:color="auto"/>
        <w:bottom w:val="none" w:sz="0" w:space="0" w:color="auto"/>
        <w:right w:val="none" w:sz="0" w:space="0" w:color="auto"/>
      </w:divBdr>
    </w:div>
    <w:div w:id="623006185">
      <w:bodyDiv w:val="1"/>
      <w:marLeft w:val="0"/>
      <w:marRight w:val="0"/>
      <w:marTop w:val="0"/>
      <w:marBottom w:val="0"/>
      <w:divBdr>
        <w:top w:val="none" w:sz="0" w:space="0" w:color="auto"/>
        <w:left w:val="none" w:sz="0" w:space="0" w:color="auto"/>
        <w:bottom w:val="none" w:sz="0" w:space="0" w:color="auto"/>
        <w:right w:val="none" w:sz="0" w:space="0" w:color="auto"/>
      </w:divBdr>
    </w:div>
    <w:div w:id="1354039812">
      <w:bodyDiv w:val="1"/>
      <w:marLeft w:val="0"/>
      <w:marRight w:val="0"/>
      <w:marTop w:val="0"/>
      <w:marBottom w:val="0"/>
      <w:divBdr>
        <w:top w:val="none" w:sz="0" w:space="0" w:color="auto"/>
        <w:left w:val="none" w:sz="0" w:space="0" w:color="auto"/>
        <w:bottom w:val="none" w:sz="0" w:space="0" w:color="auto"/>
        <w:right w:val="none" w:sz="0" w:space="0" w:color="auto"/>
      </w:divBdr>
    </w:div>
    <w:div w:id="1395278561">
      <w:bodyDiv w:val="1"/>
      <w:marLeft w:val="0"/>
      <w:marRight w:val="0"/>
      <w:marTop w:val="0"/>
      <w:marBottom w:val="0"/>
      <w:divBdr>
        <w:top w:val="none" w:sz="0" w:space="0" w:color="auto"/>
        <w:left w:val="none" w:sz="0" w:space="0" w:color="auto"/>
        <w:bottom w:val="none" w:sz="0" w:space="0" w:color="auto"/>
        <w:right w:val="none" w:sz="0" w:space="0" w:color="auto"/>
      </w:divBdr>
    </w:div>
    <w:div w:id="1455170922">
      <w:bodyDiv w:val="1"/>
      <w:marLeft w:val="0"/>
      <w:marRight w:val="0"/>
      <w:marTop w:val="0"/>
      <w:marBottom w:val="0"/>
      <w:divBdr>
        <w:top w:val="none" w:sz="0" w:space="0" w:color="auto"/>
        <w:left w:val="none" w:sz="0" w:space="0" w:color="auto"/>
        <w:bottom w:val="none" w:sz="0" w:space="0" w:color="auto"/>
        <w:right w:val="none" w:sz="0" w:space="0" w:color="auto"/>
      </w:divBdr>
    </w:div>
    <w:div w:id="1536884970">
      <w:bodyDiv w:val="1"/>
      <w:marLeft w:val="0"/>
      <w:marRight w:val="0"/>
      <w:marTop w:val="0"/>
      <w:marBottom w:val="0"/>
      <w:divBdr>
        <w:top w:val="none" w:sz="0" w:space="0" w:color="auto"/>
        <w:left w:val="none" w:sz="0" w:space="0" w:color="auto"/>
        <w:bottom w:val="none" w:sz="0" w:space="0" w:color="auto"/>
        <w:right w:val="none" w:sz="0" w:space="0" w:color="auto"/>
      </w:divBdr>
    </w:div>
    <w:div w:id="15454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5408</TotalTime>
  <Pages>5</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Johnston</dc:creator>
  <cp:keywords/>
  <dc:description/>
  <cp:lastModifiedBy>Kirsten Johnston</cp:lastModifiedBy>
  <cp:revision>25</cp:revision>
  <dcterms:created xsi:type="dcterms:W3CDTF">2025-06-26T14:47:00Z</dcterms:created>
  <dcterms:modified xsi:type="dcterms:W3CDTF">2025-06-30T13:01:00Z</dcterms:modified>
</cp:coreProperties>
</file>